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92" w:rsidRDefault="00530192" w:rsidP="008B3D41">
      <w:pPr>
        <w:jc w:val="both"/>
      </w:pPr>
      <w:r>
        <w:t>Procédure DAF_2024_000865</w:t>
      </w:r>
    </w:p>
    <w:p w:rsidR="00530192" w:rsidRPr="002212C8" w:rsidRDefault="00530192" w:rsidP="008B3D41">
      <w:pPr>
        <w:jc w:val="both"/>
        <w:rPr>
          <w:b/>
          <w:u w:val="single"/>
        </w:rPr>
      </w:pPr>
      <w:r w:rsidRPr="002212C8">
        <w:rPr>
          <w:b/>
          <w:u w:val="single"/>
        </w:rPr>
        <w:t>Question posée </w:t>
      </w:r>
      <w:r w:rsidR="00B04D09" w:rsidRPr="002212C8">
        <w:rPr>
          <w:b/>
          <w:u w:val="single"/>
        </w:rPr>
        <w:t xml:space="preserve">via PLACE le 17/07/2024 10h41 </w:t>
      </w:r>
      <w:r w:rsidRPr="002212C8">
        <w:rPr>
          <w:b/>
          <w:u w:val="single"/>
        </w:rPr>
        <w:t>:</w:t>
      </w:r>
    </w:p>
    <w:p w:rsidR="00530192" w:rsidRPr="008B2EF5" w:rsidRDefault="00530192" w:rsidP="008B3D41">
      <w:pPr>
        <w:jc w:val="both"/>
        <w:rPr>
          <w:b/>
        </w:rPr>
      </w:pPr>
      <w:r w:rsidRPr="008B2EF5">
        <w:rPr>
          <w:b/>
        </w:rPr>
        <w:t>Pour chaque catégorie de cette consultation, est-il obligatoire de savoir maintenir tous les équipements listés dans le CCP ou peut-on pouvoir prendre en charge seulement une partie ?</w:t>
      </w:r>
    </w:p>
    <w:p w:rsidR="00530192" w:rsidRPr="002212C8" w:rsidRDefault="00530192" w:rsidP="008B3D41">
      <w:pPr>
        <w:jc w:val="both"/>
        <w:rPr>
          <w:b/>
          <w:u w:val="single"/>
        </w:rPr>
      </w:pPr>
      <w:r w:rsidRPr="002212C8">
        <w:rPr>
          <w:b/>
          <w:u w:val="single"/>
        </w:rPr>
        <w:t xml:space="preserve">Réponse </w:t>
      </w:r>
      <w:r w:rsidR="00B04D09" w:rsidRPr="002212C8">
        <w:rPr>
          <w:b/>
          <w:u w:val="single"/>
        </w:rPr>
        <w:t>donnée</w:t>
      </w:r>
      <w:r w:rsidR="008B2EF5">
        <w:rPr>
          <w:b/>
          <w:u w:val="single"/>
        </w:rPr>
        <w:t xml:space="preserve"> par le RPA</w:t>
      </w:r>
      <w:r w:rsidRPr="002212C8">
        <w:rPr>
          <w:b/>
          <w:u w:val="single"/>
        </w:rPr>
        <w:t> :</w:t>
      </w:r>
    </w:p>
    <w:p w:rsidR="001D62B3" w:rsidRDefault="001D62B3" w:rsidP="008B3D41">
      <w:pPr>
        <w:jc w:val="both"/>
      </w:pPr>
      <w:r>
        <w:t>Le CCP</w:t>
      </w:r>
      <w:r>
        <w:t xml:space="preserve"> </w:t>
      </w:r>
      <w:r>
        <w:t>indique</w:t>
      </w:r>
      <w:r>
        <w:t xml:space="preserve"> une liste non exhaustive des équipements à couvrir </w:t>
      </w:r>
      <w:r w:rsidR="008B2EF5">
        <w:t xml:space="preserve">en maintenance </w:t>
      </w:r>
      <w:bookmarkStart w:id="0" w:name="_GoBack"/>
      <w:bookmarkEnd w:id="0"/>
      <w:r>
        <w:t>par catégorie.</w:t>
      </w:r>
    </w:p>
    <w:p w:rsidR="00530192" w:rsidRDefault="00530192" w:rsidP="008B3D41">
      <w:pPr>
        <w:jc w:val="both"/>
      </w:pPr>
      <w:r>
        <w:t xml:space="preserve">Au stade de la candidature du SAD, il </w:t>
      </w:r>
      <w:r w:rsidR="00CD1774">
        <w:t>n’</w:t>
      </w:r>
      <w:r>
        <w:t xml:space="preserve">est </w:t>
      </w:r>
      <w:r w:rsidR="002212C8">
        <w:t xml:space="preserve">pas impératif </w:t>
      </w:r>
      <w:r>
        <w:t xml:space="preserve">de pouvoir </w:t>
      </w:r>
      <w:r w:rsidR="008B2EF5">
        <w:t>couvrir</w:t>
      </w:r>
      <w:r>
        <w:t xml:space="preserve"> la totalité </w:t>
      </w:r>
      <w:r w:rsidR="008B2EF5">
        <w:t xml:space="preserve">des équipements </w:t>
      </w:r>
      <w:r w:rsidR="008B2EF5">
        <w:t>listés au CCP dans la catégorie candidatée</w:t>
      </w:r>
      <w:r w:rsidR="001D62B3">
        <w:t xml:space="preserve">. </w:t>
      </w:r>
    </w:p>
    <w:p w:rsidR="00530192" w:rsidRDefault="008B2EF5" w:rsidP="008B3D41">
      <w:pPr>
        <w:jc w:val="both"/>
      </w:pPr>
      <w:r>
        <w:t>L</w:t>
      </w:r>
      <w:r w:rsidR="00530192">
        <w:t>a définition de chaque marché spécifique (MSP) n’est pas acquise ni figée</w:t>
      </w:r>
      <w:r w:rsidR="001D62B3">
        <w:t xml:space="preserve"> à ce stade de la procédure SAD</w:t>
      </w:r>
      <w:r w:rsidR="00530192">
        <w:t>. Chaque MSP pourra</w:t>
      </w:r>
      <w:r w:rsidR="008B3D41">
        <w:t>it</w:t>
      </w:r>
      <w:r w:rsidR="00530192">
        <w:t xml:space="preserve"> être alloti selon des contraintes techniques et/ou géographiques propres aux besoins du SSA. L’allotissement éventuel accorde donc la possibilité de ne pas couvrir la totalité des équipements </w:t>
      </w:r>
      <w:r>
        <w:t>du parc</w:t>
      </w:r>
      <w:r w:rsidR="00530192">
        <w:t xml:space="preserve"> lors </w:t>
      </w:r>
      <w:r w:rsidR="002212C8">
        <w:t>du dépôt des</w:t>
      </w:r>
      <w:r w:rsidR="00530192">
        <w:t xml:space="preserve"> offre</w:t>
      </w:r>
      <w:r w:rsidR="002212C8">
        <w:t>s</w:t>
      </w:r>
      <w:r w:rsidR="00530192">
        <w:t xml:space="preserve"> pour chaque MSP</w:t>
      </w:r>
      <w:r w:rsidR="008B3D41" w:rsidRPr="008B3D41">
        <w:t xml:space="preserve"> </w:t>
      </w:r>
      <w:r w:rsidR="008B3D41">
        <w:t>à venir</w:t>
      </w:r>
      <w:r w:rsidR="00530192">
        <w:t>.</w:t>
      </w:r>
    </w:p>
    <w:p w:rsidR="00530192" w:rsidRDefault="00530192" w:rsidP="008B3D41">
      <w:pPr>
        <w:jc w:val="both"/>
      </w:pPr>
      <w:r>
        <w:t>Ainsi, pour chaque catégorie candidatée</w:t>
      </w:r>
      <w:r w:rsidR="003351A9">
        <w:t xml:space="preserve"> au niveau du SAD</w:t>
      </w:r>
      <w:r>
        <w:t xml:space="preserve">, il est demandé de préciser </w:t>
      </w:r>
      <w:r w:rsidR="008B2EF5">
        <w:t>parmi</w:t>
      </w:r>
      <w:r w:rsidR="003351A9">
        <w:t xml:space="preserve"> la liste des modèles d’équipements cités au CCP, ceux qui peuvent être couverts en maintenance ou non et </w:t>
      </w:r>
      <w:r w:rsidR="008B3D41">
        <w:t>de préciser</w:t>
      </w:r>
      <w:r w:rsidR="003351A9">
        <w:t xml:space="preserve"> les prestations de maintenance réalisables</w:t>
      </w:r>
      <w:r w:rsidR="008B3D41">
        <w:t xml:space="preserve"> ou non pour chaque modèle.</w:t>
      </w:r>
    </w:p>
    <w:p w:rsidR="002212C8" w:rsidRPr="002212C8" w:rsidRDefault="008B3D41" w:rsidP="008B3D41">
      <w:pPr>
        <w:jc w:val="both"/>
        <w:rPr>
          <w:u w:val="single"/>
        </w:rPr>
      </w:pPr>
      <w:r>
        <w:rPr>
          <w:u w:val="single"/>
        </w:rPr>
        <w:t>Synthèse des</w:t>
      </w:r>
      <w:r w:rsidR="002212C8" w:rsidRPr="002212C8">
        <w:rPr>
          <w:u w:val="single"/>
        </w:rPr>
        <w:t xml:space="preserve"> précision</w:t>
      </w:r>
      <w:r>
        <w:rPr>
          <w:u w:val="single"/>
        </w:rPr>
        <w:t>s</w:t>
      </w:r>
      <w:r w:rsidR="002212C8" w:rsidRPr="002212C8">
        <w:rPr>
          <w:u w:val="single"/>
        </w:rPr>
        <w:t xml:space="preserve"> à apporter dans la candidature </w:t>
      </w:r>
      <w:r>
        <w:rPr>
          <w:u w:val="single"/>
        </w:rPr>
        <w:t xml:space="preserve">du SAD pour chaque catégorie </w:t>
      </w:r>
      <w:r w:rsidR="002212C8" w:rsidRPr="002212C8">
        <w:rPr>
          <w:u w:val="single"/>
        </w:rPr>
        <w:t>:</w:t>
      </w:r>
    </w:p>
    <w:p w:rsidR="003351A9" w:rsidRPr="00760227" w:rsidRDefault="003351A9" w:rsidP="00760227">
      <w:pPr>
        <w:pStyle w:val="Paragraphedeliste"/>
        <w:numPr>
          <w:ilvl w:val="0"/>
          <w:numId w:val="1"/>
        </w:numPr>
        <w:jc w:val="both"/>
        <w:rPr>
          <w:rFonts w:ascii="Marianne" w:hAnsi="Marianne"/>
          <w:i/>
          <w:color w:val="0070C0"/>
          <w:sz w:val="18"/>
          <w:szCs w:val="18"/>
        </w:rPr>
      </w:pPr>
      <w:r w:rsidRPr="00760227">
        <w:rPr>
          <w:rFonts w:ascii="Marianne" w:hAnsi="Marianne"/>
          <w:i/>
          <w:color w:val="0070C0"/>
          <w:sz w:val="18"/>
          <w:szCs w:val="18"/>
        </w:rPr>
        <w:t>Catégorie</w:t>
      </w:r>
      <w:r w:rsidR="008C6C6F" w:rsidRPr="00760227">
        <w:rPr>
          <w:rFonts w:ascii="Marianne" w:hAnsi="Marianne"/>
          <w:i/>
          <w:color w:val="0070C0"/>
          <w:sz w:val="18"/>
          <w:szCs w:val="18"/>
        </w:rPr>
        <w:t>s</w:t>
      </w:r>
      <w:r w:rsidRPr="00760227">
        <w:rPr>
          <w:rFonts w:ascii="Marianne" w:hAnsi="Marianne"/>
          <w:i/>
          <w:color w:val="0070C0"/>
          <w:sz w:val="18"/>
          <w:szCs w:val="18"/>
        </w:rPr>
        <w:t xml:space="preserve"> </w:t>
      </w:r>
      <w:r w:rsidR="008C6C6F" w:rsidRPr="00760227">
        <w:rPr>
          <w:rFonts w:ascii="Marianne" w:hAnsi="Marianne"/>
          <w:i/>
          <w:color w:val="0070C0"/>
          <w:sz w:val="18"/>
          <w:szCs w:val="18"/>
        </w:rPr>
        <w:t>1 à 47</w:t>
      </w:r>
      <w:r w:rsidRPr="00760227">
        <w:rPr>
          <w:rFonts w:ascii="Calibri" w:hAnsi="Calibri" w:cs="Calibri"/>
          <w:i/>
          <w:color w:val="0070C0"/>
          <w:sz w:val="18"/>
          <w:szCs w:val="18"/>
        </w:rPr>
        <w:t> </w:t>
      </w:r>
      <w:r w:rsidRPr="00760227">
        <w:rPr>
          <w:rFonts w:ascii="Marianne" w:hAnsi="Marianne"/>
          <w:i/>
          <w:color w:val="0070C0"/>
          <w:sz w:val="18"/>
          <w:szCs w:val="18"/>
        </w:rPr>
        <w:t>:</w:t>
      </w:r>
    </w:p>
    <w:tbl>
      <w:tblPr>
        <w:tblStyle w:val="Grilledutableau"/>
        <w:tblW w:w="10348" w:type="dxa"/>
        <w:tblInd w:w="-714" w:type="dxa"/>
        <w:tblLook w:val="04A0" w:firstRow="1" w:lastRow="0" w:firstColumn="1" w:lastColumn="0" w:noHBand="0" w:noVBand="1"/>
      </w:tblPr>
      <w:tblGrid>
        <w:gridCol w:w="1189"/>
        <w:gridCol w:w="1398"/>
        <w:gridCol w:w="1398"/>
        <w:gridCol w:w="1398"/>
        <w:gridCol w:w="1040"/>
        <w:gridCol w:w="1185"/>
        <w:gridCol w:w="1167"/>
        <w:gridCol w:w="1573"/>
      </w:tblGrid>
      <w:tr w:rsidR="002212C8" w:rsidRPr="008B3D41" w:rsidTr="002212C8">
        <w:tc>
          <w:tcPr>
            <w:tcW w:w="1189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</w:p>
        </w:tc>
        <w:tc>
          <w:tcPr>
            <w:tcW w:w="1398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Maintenance Tous risques (</w:t>
            </w:r>
            <w:proofErr w:type="spellStart"/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Cur</w:t>
            </w:r>
            <w:proofErr w:type="spellEnd"/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 xml:space="preserve"> + </w:t>
            </w:r>
            <w:proofErr w:type="spellStart"/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Prév</w:t>
            </w:r>
            <w:proofErr w:type="spellEnd"/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)</w:t>
            </w:r>
          </w:p>
        </w:tc>
        <w:tc>
          <w:tcPr>
            <w:tcW w:w="1398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Maintenance Préventive seule</w:t>
            </w:r>
          </w:p>
        </w:tc>
        <w:tc>
          <w:tcPr>
            <w:tcW w:w="1398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Maintenance attachement</w:t>
            </w:r>
          </w:p>
        </w:tc>
        <w:tc>
          <w:tcPr>
            <w:tcW w:w="1040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Maint évolutive</w:t>
            </w:r>
          </w:p>
        </w:tc>
        <w:tc>
          <w:tcPr>
            <w:tcW w:w="1185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Formation applicative utilisateur</w:t>
            </w:r>
          </w:p>
        </w:tc>
        <w:tc>
          <w:tcPr>
            <w:tcW w:w="1167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Fourniture de pièces détachées</w:t>
            </w:r>
          </w:p>
        </w:tc>
        <w:tc>
          <w:tcPr>
            <w:tcW w:w="1573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Formation techniciens maint du SSA</w:t>
            </w:r>
          </w:p>
        </w:tc>
      </w:tr>
      <w:tr w:rsidR="002212C8" w:rsidRPr="008B3D41" w:rsidTr="002212C8">
        <w:tc>
          <w:tcPr>
            <w:tcW w:w="1189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Modèle 1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040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185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167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573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2212C8" w:rsidRPr="008B3D41" w:rsidTr="002212C8">
        <w:tc>
          <w:tcPr>
            <w:tcW w:w="1189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Modèle 2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040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185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167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573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2212C8" w:rsidRPr="008B3D41" w:rsidTr="002212C8">
        <w:tc>
          <w:tcPr>
            <w:tcW w:w="1189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040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185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167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  <w:tc>
          <w:tcPr>
            <w:tcW w:w="1573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….</w:t>
            </w:r>
          </w:p>
        </w:tc>
      </w:tr>
      <w:tr w:rsidR="002212C8" w:rsidRPr="008B3D41" w:rsidTr="002212C8">
        <w:tc>
          <w:tcPr>
            <w:tcW w:w="1189" w:type="dxa"/>
          </w:tcPr>
          <w:p w:rsidR="002212C8" w:rsidRPr="008B3D41" w:rsidRDefault="002212C8" w:rsidP="008B3D41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Modèle 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398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040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185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167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  <w:tc>
          <w:tcPr>
            <w:tcW w:w="1573" w:type="dxa"/>
          </w:tcPr>
          <w:p w:rsidR="002212C8" w:rsidRPr="008B3D41" w:rsidRDefault="002212C8" w:rsidP="008C6C6F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8B3D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</w:tbl>
    <w:p w:rsidR="002212C8" w:rsidRPr="008B3D41" w:rsidRDefault="002212C8" w:rsidP="00760227">
      <w:pPr>
        <w:spacing w:before="240" w:after="120"/>
        <w:jc w:val="both"/>
        <w:rPr>
          <w:b/>
        </w:rPr>
      </w:pPr>
      <w:r w:rsidRPr="008B3D41">
        <w:rPr>
          <w:b/>
        </w:rPr>
        <w:t xml:space="preserve">NB : </w:t>
      </w:r>
      <w:r w:rsidRPr="00CD1774">
        <w:t xml:space="preserve">Les prestations minimales exigées sont mentionnées </w:t>
      </w:r>
      <w:r w:rsidRPr="00CD1774">
        <w:t>dans le CCP</w:t>
      </w:r>
      <w:r w:rsidRPr="00CD1774">
        <w:t xml:space="preserve"> pour chaque catégorie.</w:t>
      </w:r>
      <w:r w:rsidRPr="008B3D41">
        <w:rPr>
          <w:b/>
        </w:rPr>
        <w:t xml:space="preserve"> </w:t>
      </w:r>
    </w:p>
    <w:p w:rsidR="00530192" w:rsidRPr="00760227" w:rsidRDefault="008C6C6F" w:rsidP="00760227">
      <w:pPr>
        <w:pStyle w:val="Paragraphedeliste"/>
        <w:numPr>
          <w:ilvl w:val="0"/>
          <w:numId w:val="2"/>
        </w:numPr>
        <w:jc w:val="both"/>
        <w:rPr>
          <w:rFonts w:ascii="Marianne" w:hAnsi="Marianne"/>
          <w:i/>
          <w:color w:val="0070C0"/>
          <w:sz w:val="18"/>
          <w:szCs w:val="18"/>
        </w:rPr>
      </w:pPr>
      <w:r w:rsidRPr="00760227">
        <w:rPr>
          <w:rFonts w:ascii="Marianne" w:hAnsi="Marianne"/>
          <w:i/>
          <w:color w:val="0070C0"/>
          <w:sz w:val="18"/>
          <w:szCs w:val="18"/>
        </w:rPr>
        <w:t>Catégorie 48</w:t>
      </w:r>
      <w:r w:rsidRPr="00760227">
        <w:rPr>
          <w:rFonts w:ascii="Calibri" w:hAnsi="Calibri" w:cs="Calibri"/>
          <w:i/>
          <w:color w:val="0070C0"/>
          <w:sz w:val="18"/>
          <w:szCs w:val="18"/>
        </w:rPr>
        <w:t> </w:t>
      </w:r>
      <w:r w:rsidRPr="00760227">
        <w:rPr>
          <w:rFonts w:ascii="Marianne" w:hAnsi="Marianne"/>
          <w:i/>
          <w:color w:val="0070C0"/>
          <w:sz w:val="18"/>
          <w:szCs w:val="18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8C6C6F" w:rsidTr="00CD1774">
        <w:tc>
          <w:tcPr>
            <w:tcW w:w="6091" w:type="dxa"/>
          </w:tcPr>
          <w:p w:rsidR="008C6C6F" w:rsidRDefault="008C6C6F" w:rsidP="00CD1774">
            <w:pPr>
              <w:jc w:val="center"/>
            </w:pPr>
            <w:r w:rsidRPr="008C6C6F">
              <w:rPr>
                <w:rFonts w:ascii="Marianne" w:hAnsi="Marianne"/>
                <w:i/>
                <w:color w:val="0070C0"/>
                <w:sz w:val="18"/>
                <w:szCs w:val="18"/>
              </w:rPr>
              <w:t xml:space="preserve">Type </w:t>
            </w:r>
            <w:r w:rsid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d’installations</w:t>
            </w:r>
          </w:p>
        </w:tc>
        <w:tc>
          <w:tcPr>
            <w:tcW w:w="2971" w:type="dxa"/>
          </w:tcPr>
          <w:p w:rsidR="008C6C6F" w:rsidRPr="008C6C6F" w:rsidRDefault="00CD1774" w:rsidP="00760227">
            <w:pPr>
              <w:jc w:val="center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>
              <w:rPr>
                <w:rFonts w:ascii="Marianne" w:hAnsi="Marianne"/>
                <w:i/>
                <w:color w:val="0070C0"/>
                <w:sz w:val="18"/>
                <w:szCs w:val="18"/>
              </w:rPr>
              <w:t xml:space="preserve">CQE </w:t>
            </w:r>
            <w:r w:rsidR="008C6C6F" w:rsidRPr="008C6C6F">
              <w:rPr>
                <w:rFonts w:ascii="Marianne" w:hAnsi="Marianne"/>
                <w:i/>
                <w:color w:val="0070C0"/>
                <w:sz w:val="18"/>
                <w:szCs w:val="18"/>
              </w:rPr>
              <w:t>Réalisable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Installations de mammographie numérique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Installations de médecine nucléaire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>
              <w:rPr>
                <w:rFonts w:ascii="Marianne" w:hAnsi="Marianne"/>
                <w:i/>
                <w:color w:val="0070C0"/>
                <w:sz w:val="18"/>
                <w:szCs w:val="18"/>
              </w:rPr>
              <w:t>Installations d’o</w:t>
            </w: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stéodensitométrie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I</w:t>
            </w:r>
            <w:r>
              <w:rPr>
                <w:rFonts w:ascii="Marianne" w:hAnsi="Marianne"/>
                <w:i/>
                <w:color w:val="0070C0"/>
                <w:sz w:val="18"/>
                <w:szCs w:val="18"/>
              </w:rPr>
              <w:t>nstallations de radiodiagnostic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>
              <w:rPr>
                <w:rFonts w:ascii="Marianne" w:hAnsi="Marianne"/>
                <w:i/>
                <w:color w:val="0070C0"/>
                <w:sz w:val="18"/>
                <w:szCs w:val="18"/>
              </w:rPr>
              <w:t>I</w:t>
            </w: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nstallations de radiologie interventionnelle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Installations de radiologie dentaire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Install</w:t>
            </w:r>
            <w:r>
              <w:rPr>
                <w:rFonts w:ascii="Marianne" w:hAnsi="Marianne"/>
                <w:i/>
                <w:color w:val="0070C0"/>
                <w:sz w:val="18"/>
                <w:szCs w:val="18"/>
              </w:rPr>
              <w:t>ations de radiothérapie externe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  <w:tr w:rsidR="00CD1774" w:rsidTr="00CD1774">
        <w:tc>
          <w:tcPr>
            <w:tcW w:w="6091" w:type="dxa"/>
          </w:tcPr>
          <w:p w:rsidR="00CD1774" w:rsidRPr="00CD1774" w:rsidRDefault="00CD1774" w:rsidP="00CD1774">
            <w:pPr>
              <w:jc w:val="both"/>
              <w:rPr>
                <w:rFonts w:ascii="Marianne" w:hAnsi="Marianne"/>
                <w:i/>
                <w:color w:val="0070C0"/>
                <w:sz w:val="18"/>
                <w:szCs w:val="18"/>
              </w:rPr>
            </w:pPr>
            <w:r w:rsidRPr="00CD1774">
              <w:rPr>
                <w:rFonts w:ascii="Marianne" w:hAnsi="Marianne"/>
                <w:i/>
                <w:color w:val="0070C0"/>
                <w:sz w:val="18"/>
                <w:szCs w:val="18"/>
              </w:rPr>
              <w:t>Installations de scanographie</w:t>
            </w:r>
          </w:p>
        </w:tc>
        <w:tc>
          <w:tcPr>
            <w:tcW w:w="2971" w:type="dxa"/>
          </w:tcPr>
          <w:p w:rsidR="00CD1774" w:rsidRDefault="00CD1774" w:rsidP="00CD1774">
            <w:pPr>
              <w:jc w:val="center"/>
            </w:pPr>
            <w:r w:rsidRPr="00B65C41">
              <w:rPr>
                <w:rFonts w:ascii="Marianne" w:hAnsi="Marianne"/>
                <w:i/>
                <w:color w:val="0070C0"/>
                <w:sz w:val="18"/>
                <w:szCs w:val="18"/>
              </w:rPr>
              <w:t>oui/non</w:t>
            </w:r>
          </w:p>
        </w:tc>
      </w:tr>
    </w:tbl>
    <w:p w:rsidR="00CD1774" w:rsidRPr="008B3D41" w:rsidRDefault="00CD1774" w:rsidP="00CD1774">
      <w:pPr>
        <w:spacing w:before="240" w:after="120"/>
        <w:jc w:val="both"/>
        <w:rPr>
          <w:b/>
        </w:rPr>
      </w:pPr>
      <w:r w:rsidRPr="008B3D41">
        <w:rPr>
          <w:b/>
        </w:rPr>
        <w:t xml:space="preserve">NB : </w:t>
      </w:r>
      <w:r>
        <w:t>les modalités de contrôle sont actuellement fixées par décision du directeur général de l'ANSM</w:t>
      </w:r>
      <w:r w:rsidRPr="008B3D41">
        <w:rPr>
          <w:b/>
        </w:rPr>
        <w:t xml:space="preserve">. </w:t>
      </w:r>
    </w:p>
    <w:p w:rsidR="008C6C6F" w:rsidRDefault="008C6C6F" w:rsidP="008B3D41">
      <w:pPr>
        <w:jc w:val="both"/>
      </w:pPr>
    </w:p>
    <w:sectPr w:rsidR="008C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D271D"/>
    <w:multiLevelType w:val="hybridMultilevel"/>
    <w:tmpl w:val="9D14A5D0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BE7856"/>
    <w:multiLevelType w:val="hybridMultilevel"/>
    <w:tmpl w:val="7EC60C1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92"/>
    <w:rsid w:val="001D62B3"/>
    <w:rsid w:val="002212C8"/>
    <w:rsid w:val="003351A9"/>
    <w:rsid w:val="003C7993"/>
    <w:rsid w:val="00530192"/>
    <w:rsid w:val="005941C4"/>
    <w:rsid w:val="00760227"/>
    <w:rsid w:val="00840102"/>
    <w:rsid w:val="008B2EF5"/>
    <w:rsid w:val="008B3D41"/>
    <w:rsid w:val="008C6C6F"/>
    <w:rsid w:val="00B04D09"/>
    <w:rsid w:val="00CD1774"/>
    <w:rsid w:val="00E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8D76"/>
  <w15:chartTrackingRefBased/>
  <w15:docId w15:val="{A34B7A60-486C-4FE2-8453-DE42522B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35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0227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CD17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SALIOU Christophe IDEF MINDEF</dc:creator>
  <cp:keywords/>
  <dc:description/>
  <cp:lastModifiedBy>SALIOU Christophe IDEF MINDEF</cp:lastModifiedBy>
  <cp:revision>3</cp:revision>
  <dcterms:created xsi:type="dcterms:W3CDTF">2024-07-17T11:43:00Z</dcterms:created>
  <dcterms:modified xsi:type="dcterms:W3CDTF">2024-07-17T13:10:00Z</dcterms:modified>
</cp:coreProperties>
</file>